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ЗАТО Озерный</w:t>
      </w:r>
    </w:p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Тверской области</w:t>
      </w:r>
    </w:p>
    <w:p w:rsidR="00395E56" w:rsidRPr="00C863F2" w:rsidRDefault="00395E56" w:rsidP="00395E56">
      <w:pPr>
        <w:jc w:val="right"/>
        <w:rPr>
          <w:sz w:val="28"/>
          <w:szCs w:val="28"/>
        </w:rPr>
      </w:pPr>
      <w:r w:rsidRPr="00C863F2">
        <w:rPr>
          <w:sz w:val="28"/>
          <w:szCs w:val="28"/>
        </w:rPr>
        <w:t xml:space="preserve">от </w:t>
      </w:r>
      <w:r>
        <w:rPr>
          <w:sz w:val="28"/>
          <w:szCs w:val="28"/>
        </w:rPr>
        <w:t>09.11.2023</w:t>
      </w:r>
      <w:r w:rsidRPr="00C863F2">
        <w:rPr>
          <w:sz w:val="28"/>
          <w:szCs w:val="28"/>
        </w:rPr>
        <w:t xml:space="preserve"> г. № </w:t>
      </w:r>
      <w:r>
        <w:rPr>
          <w:sz w:val="28"/>
          <w:szCs w:val="28"/>
        </w:rPr>
        <w:t>126</w:t>
      </w: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395E56" w:rsidRDefault="00395E56" w:rsidP="00395E56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395E56" w:rsidRDefault="00395E56" w:rsidP="00395E56">
      <w:pPr>
        <w:jc w:val="center"/>
        <w:rPr>
          <w:sz w:val="28"/>
          <w:szCs w:val="28"/>
        </w:rPr>
      </w:pPr>
      <w:r>
        <w:rPr>
          <w:sz w:val="36"/>
          <w:szCs w:val="36"/>
        </w:rPr>
        <w:t>«Дорожное хозяйство ЗАТО Озерный Тверской области»                        на 2024-2026 годы</w:t>
      </w: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395E56" w:rsidRDefault="00395E56" w:rsidP="00395E56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395E56" w:rsidRPr="00C863F2" w:rsidRDefault="00395E56" w:rsidP="00395E56">
      <w:pPr>
        <w:jc w:val="center"/>
        <w:rPr>
          <w:sz w:val="28"/>
          <w:szCs w:val="28"/>
        </w:rPr>
      </w:pPr>
      <w:r w:rsidRPr="00C863F2">
        <w:rPr>
          <w:sz w:val="28"/>
          <w:szCs w:val="28"/>
        </w:rPr>
        <w:lastRenderedPageBreak/>
        <w:t xml:space="preserve">Паспорт </w:t>
      </w:r>
    </w:p>
    <w:p w:rsidR="00395E56" w:rsidRPr="00C863F2" w:rsidRDefault="00395E56" w:rsidP="00395E56">
      <w:pPr>
        <w:jc w:val="center"/>
        <w:rPr>
          <w:sz w:val="28"/>
          <w:szCs w:val="28"/>
        </w:rPr>
      </w:pPr>
      <w:r w:rsidRPr="00C863F2">
        <w:rPr>
          <w:sz w:val="28"/>
          <w:szCs w:val="28"/>
        </w:rPr>
        <w:t>муниципальной программы ЗАТО Озерный Тверской области</w:t>
      </w:r>
    </w:p>
    <w:p w:rsidR="00395E56" w:rsidRDefault="00395E56" w:rsidP="00395E56">
      <w:pPr>
        <w:jc w:val="center"/>
        <w:rPr>
          <w:sz w:val="28"/>
          <w:szCs w:val="28"/>
        </w:rPr>
      </w:pPr>
      <w:r w:rsidRPr="00C863F2">
        <w:rPr>
          <w:sz w:val="28"/>
          <w:szCs w:val="28"/>
        </w:rPr>
        <w:t>«Дорожное хозяйство ЗАТО Озерный Тверской области» на 20</w:t>
      </w:r>
      <w:r>
        <w:rPr>
          <w:sz w:val="28"/>
          <w:szCs w:val="28"/>
        </w:rPr>
        <w:t>24</w:t>
      </w:r>
      <w:r w:rsidRPr="00C863F2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C863F2">
        <w:rPr>
          <w:sz w:val="28"/>
          <w:szCs w:val="28"/>
        </w:rPr>
        <w:t xml:space="preserve"> годы.</w:t>
      </w:r>
    </w:p>
    <w:p w:rsidR="00395E56" w:rsidRPr="00C863F2" w:rsidRDefault="00395E56" w:rsidP="00395E56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22"/>
        <w:gridCol w:w="6589"/>
      </w:tblGrid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Муниципальная программа ЗАТО Озерный Тверской области  «Дорожное хозяйство ЗАТО Озерный Тверской области» на 20</w:t>
            </w:r>
            <w:r>
              <w:rPr>
                <w:sz w:val="28"/>
                <w:szCs w:val="28"/>
              </w:rPr>
              <w:t>24</w:t>
            </w:r>
            <w:r w:rsidRPr="00C863F2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C863F2">
              <w:rPr>
                <w:sz w:val="28"/>
                <w:szCs w:val="28"/>
              </w:rPr>
              <w:t xml:space="preserve"> годы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Администрация закрытого административно-территориального образования Озерный Тверской области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Администраторы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-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Настоящая Программа  реализуется в период</w:t>
            </w:r>
            <w:r>
              <w:rPr>
                <w:sz w:val="28"/>
                <w:szCs w:val="28"/>
              </w:rPr>
              <w:t>ы</w:t>
            </w:r>
            <w:r w:rsidRPr="00C863F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C863F2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6</w:t>
            </w:r>
            <w:r w:rsidRPr="00C863F2">
              <w:rPr>
                <w:sz w:val="28"/>
                <w:szCs w:val="28"/>
              </w:rPr>
              <w:t xml:space="preserve">  годов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Улучшение транспортно-эксплуатационных качеств улично-дорожной сети ЗАТО Озерный, дорог общего пользования местного значения , приведение дворовых территорий и проездов к дворовым территориям в нормативное состояние при рациональном использовании материальных и финансовых ресурсов.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768" w:type="dxa"/>
            <w:tcBorders>
              <w:bottom w:val="single" w:sz="4" w:space="0" w:color="auto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Подпрограмма 1  «Ремонт</w:t>
            </w:r>
            <w:r>
              <w:rPr>
                <w:sz w:val="28"/>
                <w:szCs w:val="28"/>
              </w:rPr>
              <w:t>, капитальный ремонт</w:t>
            </w:r>
            <w:r w:rsidRPr="00C863F2">
              <w:rPr>
                <w:sz w:val="28"/>
                <w:szCs w:val="28"/>
              </w:rPr>
              <w:t xml:space="preserve"> и содержание улично-дорожной сети ЗАТО Озерный Тверской области» (далее – Подпрограмма 1);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Подпрограмма 2 «Ремонт и благоустройство дворовых территорий, проездов к дворовым территориям в ЗАТО Озерный Тверской области» (далее – Подпрограмма 2).</w:t>
            </w:r>
          </w:p>
        </w:tc>
      </w:tr>
      <w:tr w:rsidR="00395E56" w:rsidRPr="00C863F2" w:rsidTr="004B3A4D">
        <w:tc>
          <w:tcPr>
            <w:tcW w:w="3369" w:type="dxa"/>
            <w:vMerge w:val="restart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68" w:type="dxa"/>
            <w:tcBorders>
              <w:bottom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1. </w:t>
            </w:r>
            <w:r w:rsidRPr="00C863F2">
              <w:rPr>
                <w:sz w:val="28"/>
                <w:szCs w:val="28"/>
              </w:rPr>
              <w:t xml:space="preserve">Увеличение доли отремонтированных автомобильных дорог в общей протяженности автомобильных дорог ЗАТО Озерный до </w:t>
            </w:r>
            <w:r>
              <w:rPr>
                <w:sz w:val="28"/>
                <w:szCs w:val="28"/>
              </w:rPr>
              <w:t>80</w:t>
            </w:r>
            <w:r w:rsidRPr="00C863F2">
              <w:rPr>
                <w:sz w:val="28"/>
                <w:szCs w:val="28"/>
              </w:rPr>
              <w:t>%.</w:t>
            </w:r>
          </w:p>
        </w:tc>
      </w:tr>
      <w:tr w:rsidR="00395E56" w:rsidRPr="00C863F2" w:rsidTr="004B3A4D">
        <w:tc>
          <w:tcPr>
            <w:tcW w:w="3369" w:type="dxa"/>
            <w:vMerge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2. </w:t>
            </w:r>
            <w:r w:rsidRPr="00C863F2">
              <w:rPr>
                <w:sz w:val="28"/>
                <w:szCs w:val="28"/>
              </w:rPr>
              <w:t>Улучшение потребительских свойств улично-дорожной сети ЗАТО Озерный и сооружений на ней.</w:t>
            </w:r>
          </w:p>
        </w:tc>
      </w:tr>
      <w:tr w:rsidR="00395E56" w:rsidRPr="00C863F2" w:rsidTr="004B3A4D">
        <w:tc>
          <w:tcPr>
            <w:tcW w:w="3369" w:type="dxa"/>
            <w:vMerge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3. </w:t>
            </w:r>
            <w:r w:rsidRPr="00C863F2">
              <w:rPr>
                <w:sz w:val="28"/>
                <w:szCs w:val="28"/>
              </w:rPr>
              <w:t>Содержание автомобильных дорог, улично-дорожной сети  и искусственных сооружений на них на уровне, допустимом нормативами для обеспечения их сохранности.</w:t>
            </w:r>
          </w:p>
        </w:tc>
      </w:tr>
      <w:tr w:rsidR="00395E56" w:rsidRPr="00C863F2" w:rsidTr="004B3A4D">
        <w:tc>
          <w:tcPr>
            <w:tcW w:w="3369" w:type="dxa"/>
            <w:vMerge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4. </w:t>
            </w:r>
            <w:r w:rsidRPr="00C863F2">
              <w:rPr>
                <w:sz w:val="28"/>
                <w:szCs w:val="28"/>
              </w:rPr>
              <w:t xml:space="preserve"> Сокращение количества дворовых территорий, благоустройство которых не отвечает современным техническим и социальным требованиям.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Общий объем финансирования Муниципальной программы на 202</w:t>
            </w:r>
            <w:r>
              <w:rPr>
                <w:sz w:val="28"/>
                <w:szCs w:val="28"/>
              </w:rPr>
              <w:t>4</w:t>
            </w:r>
            <w:r w:rsidRPr="00C863F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C863F2">
              <w:rPr>
                <w:sz w:val="28"/>
                <w:szCs w:val="28"/>
              </w:rPr>
              <w:t xml:space="preserve"> годы составляет </w:t>
            </w:r>
            <w:r>
              <w:rPr>
                <w:sz w:val="28"/>
                <w:szCs w:val="28"/>
              </w:rPr>
              <w:t>90 751,9</w:t>
            </w:r>
            <w:r w:rsidRPr="00C863F2">
              <w:rPr>
                <w:sz w:val="28"/>
                <w:szCs w:val="28"/>
              </w:rPr>
              <w:t xml:space="preserve">  тыс.руб., в том числе по годам ее реализации в разрезе подпрограмм: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863F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33 667,1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1 – </w:t>
            </w:r>
            <w:r>
              <w:rPr>
                <w:sz w:val="28"/>
                <w:szCs w:val="28"/>
              </w:rPr>
              <w:t>27 483,1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2 – </w:t>
            </w:r>
            <w:r>
              <w:rPr>
                <w:sz w:val="28"/>
                <w:szCs w:val="28"/>
              </w:rPr>
              <w:t>6 184,0</w:t>
            </w:r>
            <w:r w:rsidRPr="00C863F2">
              <w:rPr>
                <w:sz w:val="28"/>
                <w:szCs w:val="28"/>
              </w:rPr>
              <w:t xml:space="preserve"> тыс.руб.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863F2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28 662,8</w:t>
            </w:r>
            <w:r w:rsidRPr="00C863F2">
              <w:rPr>
                <w:sz w:val="28"/>
                <w:szCs w:val="28"/>
              </w:rPr>
              <w:t xml:space="preserve"> 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1 – </w:t>
            </w:r>
            <w:r>
              <w:rPr>
                <w:sz w:val="28"/>
                <w:szCs w:val="28"/>
              </w:rPr>
              <w:t>22 906,5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2 – </w:t>
            </w:r>
            <w:r>
              <w:rPr>
                <w:sz w:val="28"/>
                <w:szCs w:val="28"/>
              </w:rPr>
              <w:t>5 756,3</w:t>
            </w:r>
            <w:r w:rsidRPr="00C863F2">
              <w:rPr>
                <w:sz w:val="28"/>
                <w:szCs w:val="28"/>
              </w:rPr>
              <w:t xml:space="preserve"> тыс.руб.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863F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28 422,0</w:t>
            </w:r>
            <w:r w:rsidRPr="00C863F2">
              <w:rPr>
                <w:sz w:val="28"/>
                <w:szCs w:val="28"/>
              </w:rPr>
              <w:t xml:space="preserve"> 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1 – </w:t>
            </w:r>
            <w:r>
              <w:rPr>
                <w:sz w:val="28"/>
                <w:szCs w:val="28"/>
              </w:rPr>
              <w:t>22 435,5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2 – </w:t>
            </w:r>
            <w:r>
              <w:rPr>
                <w:sz w:val="28"/>
                <w:szCs w:val="28"/>
              </w:rPr>
              <w:t>5 986,5</w:t>
            </w:r>
            <w:r w:rsidRPr="00C863F2">
              <w:rPr>
                <w:sz w:val="28"/>
                <w:szCs w:val="28"/>
              </w:rPr>
              <w:t xml:space="preserve"> тыс.руб.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</w:tr>
    </w:tbl>
    <w:p w:rsidR="00395E56" w:rsidRPr="00C863F2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395E56" w:rsidRPr="00515D49" w:rsidRDefault="00395E56" w:rsidP="00395E56">
      <w:pPr>
        <w:jc w:val="center"/>
        <w:rPr>
          <w:b/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Повышение доходов жителей ЗАТО Озерный Тверской области привели к резкому увеличению парка автотранспортных средств и объемов перевозок транспортом. Автомобильный транспорт как один из самых распространенных, мобильных видов транспорта требует наличия современных автомобильных дорог с комплексом различных инженерных сооружений на них. Автомобильные дороги, являясь сложным инженерно-техническим сооружение, имеют ряд особенностей, а именно: </w:t>
      </w:r>
      <w:r w:rsidRPr="005A049D">
        <w:rPr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>
        <w:rPr>
          <w:sz w:val="28"/>
          <w:szCs w:val="28"/>
        </w:rPr>
        <w:t>ебует больших финансовых затрат,</w:t>
      </w:r>
      <w:r w:rsidRPr="005A049D">
        <w:rPr>
          <w:sz w:val="28"/>
          <w:szCs w:val="28"/>
        </w:rPr>
        <w:t xml:space="preserve"> в отличие от других видов транспорта</w:t>
      </w:r>
      <w:r>
        <w:rPr>
          <w:sz w:val="28"/>
          <w:szCs w:val="28"/>
        </w:rPr>
        <w:t>,</w:t>
      </w:r>
      <w:r w:rsidRPr="005A049D">
        <w:rPr>
          <w:sz w:val="28"/>
          <w:szCs w:val="28"/>
        </w:rPr>
        <w:t xml:space="preserve">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</w:t>
      </w:r>
      <w:r>
        <w:rPr>
          <w:sz w:val="28"/>
          <w:szCs w:val="28"/>
        </w:rPr>
        <w:t>.</w:t>
      </w:r>
      <w:r w:rsidRPr="005A049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049D">
        <w:rPr>
          <w:sz w:val="28"/>
          <w:szCs w:val="28"/>
        </w:rPr>
        <w:t>омимо высокой первоначальной стоимости строительства, реконструкци</w:t>
      </w:r>
      <w:r>
        <w:rPr>
          <w:sz w:val="28"/>
          <w:szCs w:val="28"/>
        </w:rPr>
        <w:t>и</w:t>
      </w:r>
      <w:r w:rsidRPr="005A049D">
        <w:rPr>
          <w:sz w:val="28"/>
          <w:szCs w:val="28"/>
        </w:rPr>
        <w:t>, капитальн</w:t>
      </w:r>
      <w:r>
        <w:rPr>
          <w:sz w:val="28"/>
          <w:szCs w:val="28"/>
        </w:rPr>
        <w:t>ого</w:t>
      </w:r>
      <w:r w:rsidRPr="005A049D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 -</w:t>
      </w:r>
      <w:r w:rsidRPr="005A049D">
        <w:rPr>
          <w:sz w:val="28"/>
          <w:szCs w:val="28"/>
        </w:rPr>
        <w:t xml:space="preserve"> ремонт и содержание автомобильных дорог также требуют больших затрат.</w:t>
      </w:r>
    </w:p>
    <w:p w:rsidR="00395E56" w:rsidRDefault="00395E56" w:rsidP="00395E56">
      <w:pPr>
        <w:jc w:val="both"/>
      </w:pPr>
      <w:r>
        <w:rPr>
          <w:sz w:val="28"/>
          <w:szCs w:val="28"/>
        </w:rPr>
        <w:tab/>
      </w:r>
      <w:r w:rsidRPr="005A049D">
        <w:rPr>
          <w:sz w:val="28"/>
          <w:szCs w:val="28"/>
        </w:rPr>
        <w:t xml:space="preserve">Развитие экономики </w:t>
      </w:r>
      <w:r>
        <w:rPr>
          <w:sz w:val="28"/>
          <w:szCs w:val="28"/>
        </w:rPr>
        <w:t>ЗАТО Озерный</w:t>
      </w:r>
      <w:r w:rsidRPr="005A049D">
        <w:rPr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</w:t>
      </w:r>
      <w:r>
        <w:rPr>
          <w:sz w:val="28"/>
          <w:szCs w:val="28"/>
        </w:rPr>
        <w:t>ый</w:t>
      </w:r>
      <w:r w:rsidRPr="005A049D">
        <w:rPr>
          <w:sz w:val="28"/>
          <w:szCs w:val="28"/>
        </w:rPr>
        <w:t xml:space="preserve"> зависит от уровня развития и состояния сети автомобильных дорог общего пользования местного значения.</w:t>
      </w:r>
      <w:r>
        <w:t xml:space="preserve"> </w:t>
      </w:r>
      <w:r>
        <w:tab/>
      </w:r>
    </w:p>
    <w:p w:rsidR="00395E56" w:rsidRPr="00C853D9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853D9">
        <w:rPr>
          <w:sz w:val="28"/>
          <w:szCs w:val="28"/>
        </w:rPr>
        <w:t xml:space="preserve">Программа будет корректироваться по мере необходимости. В последние годы на территории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 xml:space="preserve"> проводилась целенаправленная работа по улучшению состояния и содержания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необходимо использовать программно-целевой метод. Комплексное решение проблемы окажет положительный эффект на общую обстановку </w:t>
      </w:r>
      <w:r>
        <w:rPr>
          <w:sz w:val="28"/>
          <w:szCs w:val="28"/>
        </w:rPr>
        <w:t>территории ЗАТО Озерный</w:t>
      </w:r>
      <w:r w:rsidRPr="00C853D9">
        <w:rPr>
          <w:sz w:val="28"/>
          <w:szCs w:val="28"/>
        </w:rPr>
        <w:t>, будет способствовать повышению уровня комфортного проживания граждан.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 w:rsidRPr="00C853D9">
        <w:rPr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пользования  местного значения на территории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>, должна осуществляться в соответствии с настоящей Программой.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Дороги общего пользования и улично-дорожную сеть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853D9">
        <w:rPr>
          <w:sz w:val="28"/>
          <w:szCs w:val="28"/>
        </w:rPr>
        <w:t xml:space="preserve">В существующем жилищном фонде на территории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sz w:val="28"/>
          <w:szCs w:val="28"/>
        </w:rPr>
        <w:t>водились работы во дворах.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853D9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и</w:t>
      </w:r>
      <w:r w:rsidRPr="00C853D9">
        <w:rPr>
          <w:sz w:val="28"/>
          <w:szCs w:val="28"/>
        </w:rPr>
        <w:t xml:space="preserve">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 w:rsidRPr="00C853D9">
        <w:rPr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жителей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внутридворовых территорий, повысить уровень и качество жизни горожа</w:t>
      </w:r>
      <w:r>
        <w:rPr>
          <w:sz w:val="28"/>
          <w:szCs w:val="28"/>
        </w:rPr>
        <w:t>н.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ЗАТО Озерный Тверской области расположено</w:t>
      </w:r>
      <w:r w:rsidRPr="00C853D9">
        <w:rPr>
          <w:sz w:val="28"/>
          <w:szCs w:val="28"/>
        </w:rPr>
        <w:t xml:space="preserve"> </w:t>
      </w:r>
      <w:r>
        <w:rPr>
          <w:sz w:val="28"/>
          <w:szCs w:val="28"/>
        </w:rPr>
        <w:t>67</w:t>
      </w:r>
      <w:r w:rsidRPr="00C853D9">
        <w:rPr>
          <w:sz w:val="28"/>
          <w:szCs w:val="28"/>
        </w:rPr>
        <w:t xml:space="preserve"> многоквартирных жилых дом</w:t>
      </w:r>
      <w:r>
        <w:rPr>
          <w:sz w:val="28"/>
          <w:szCs w:val="28"/>
        </w:rPr>
        <w:t>а</w:t>
      </w:r>
      <w:r w:rsidRPr="00C853D9">
        <w:rPr>
          <w:sz w:val="28"/>
          <w:szCs w:val="28"/>
        </w:rPr>
        <w:t>. Асфальтобетонное покрытие около 70 процентов придомовых территорий имеет полный физический износ. Уровень благоустройства, прежде всего, определяет комфортность проживания жителей</w:t>
      </w:r>
      <w:r>
        <w:rPr>
          <w:sz w:val="28"/>
          <w:szCs w:val="28"/>
        </w:rPr>
        <w:t xml:space="preserve"> Работы по благоустройству осложняются тем, что на территории ЗАТО Озерный</w:t>
      </w:r>
      <w:r w:rsidRPr="00C853D9">
        <w:rPr>
          <w:sz w:val="28"/>
          <w:szCs w:val="28"/>
        </w:rPr>
        <w:t xml:space="preserve"> ливневая канализация отсутствует, так как ее устройств</w:t>
      </w:r>
      <w:r>
        <w:rPr>
          <w:sz w:val="28"/>
          <w:szCs w:val="28"/>
        </w:rPr>
        <w:t>о не предусматривалось проектом,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 w:rsidRPr="00C853D9">
        <w:rPr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</w:t>
      </w:r>
      <w:r>
        <w:rPr>
          <w:sz w:val="28"/>
          <w:szCs w:val="28"/>
        </w:rPr>
        <w:t xml:space="preserve"> В 2021</w:t>
      </w:r>
      <w:r w:rsidRPr="00C853D9">
        <w:rPr>
          <w:sz w:val="28"/>
          <w:szCs w:val="28"/>
        </w:rPr>
        <w:t xml:space="preserve"> году запланировано выполнить асфальтирование проездов, тротуаров, устройство автостоянок площадью </w:t>
      </w:r>
      <w:r>
        <w:rPr>
          <w:sz w:val="28"/>
          <w:szCs w:val="28"/>
        </w:rPr>
        <w:t>не менее 5,5</w:t>
      </w:r>
      <w:r w:rsidRPr="00C853D9">
        <w:rPr>
          <w:sz w:val="28"/>
          <w:szCs w:val="28"/>
        </w:rPr>
        <w:t xml:space="preserve"> тыс. м(2), что составляет в среднем </w:t>
      </w:r>
      <w:r>
        <w:rPr>
          <w:sz w:val="28"/>
          <w:szCs w:val="28"/>
        </w:rPr>
        <w:t>10</w:t>
      </w:r>
      <w:r w:rsidRPr="00C853D9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C853D9">
        <w:rPr>
          <w:sz w:val="28"/>
          <w:szCs w:val="28"/>
        </w:rPr>
        <w:t xml:space="preserve"> от существующей потребности.</w:t>
      </w:r>
    </w:p>
    <w:p w:rsidR="00395E56" w:rsidRPr="00C853D9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 наиболее актуальным проблемам дорожного хозяйства ЗАТО Озерный относятся: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связаны с тем, что за период 1995-2000 годов было принято на баланс администрации ЗАТО Озерный 9 км дорог находящихся в ведении Министерства обороны Российской Федерации, которые находились в неудовлетворительном состоянии и не отвечали техническим требованиям проезда автотранспорта. Данные дороги в основном представлены с покрытием – дорожные ж/бетонные плиты, которые в результате длительной эксплуатации деформировали основание. В настоящее время около 50%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395E56" w:rsidRPr="00671CAA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</w:t>
      </w:r>
      <w:r w:rsidRPr="00671CAA">
        <w:t xml:space="preserve"> </w:t>
      </w:r>
      <w:r>
        <w:rPr>
          <w:sz w:val="28"/>
          <w:szCs w:val="28"/>
        </w:rPr>
        <w:t>с</w:t>
      </w:r>
      <w:r w:rsidRPr="00671CAA">
        <w:rPr>
          <w:sz w:val="28"/>
          <w:szCs w:val="28"/>
        </w:rPr>
        <w:t xml:space="preserve"> введением в действие Жилищного кодекса Российской Федерации, а также подзаконных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 w:rsidRPr="00671CAA">
        <w:rPr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Целью муниципальной программы является улучшение транспортно-эксплуатационных качеств улично-дорожной сети ЗАТО Озерный, дорог общего пользования местного значения, приведение проездов дворовых территорий в нормативное состояние при рациональном использовании материальных и финансовых ресурсов.</w:t>
      </w:r>
    </w:p>
    <w:p w:rsidR="00395E56" w:rsidRPr="00467356" w:rsidRDefault="00395E56" w:rsidP="00395E56">
      <w:pPr>
        <w:jc w:val="both"/>
        <w:rPr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«Увеличение доли отремонтированных автомобильных дорог в общей протяженности автомобильных дорог ЗАТО Озерный»;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«Увеличение доли благоустроенных дворовых территорий многоквартирных жилых домов в общем количестве дворовых территорий».</w:t>
      </w:r>
    </w:p>
    <w:p w:rsidR="00395E56" w:rsidRPr="004673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395E56" w:rsidRPr="003122C2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следующих подпрограмм: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1 «Ремонт, капитальный ремонт и содержание улично-дорожной сети ЗАТО Озерный Тверской области»;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2 «Ремонт и благоустройство дворовых территорий, проездов к дворовым территориям в ЗАТО Озерный Тверской области».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3122C2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Выполнение Подпрограммы 1 «Ремонт, капитальный ремонт и содержание улично-дорожной сети ЗАТО Озерный Тверской области» осуществляется посредством решения следующих задач: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1 «Капитальный, текущий и ямочный ремонт улично-дорожной сети ЗАТО Озерный с целью поддержания технико-эксплуатационного состояния дорожного покрытия»;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1 « Сезонное содержание улично-дорожной сети ЗАТО Озерный».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Подпрограммы 2 «Ремонт и благоустройство дворовых территорий, проездов к дворовым территориям в ЗАТО Озерный Тверской области» осуществляется посредством решения следующих задач: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2  «Капитальный ремонт и ремонт дворовых территорий многоквартирных жилых домов на территории ЗАТО Озерный Тверской области»;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2 « Ремонт проездов к дворовым территориям многоквартирных жилых домов на территории ЗАТО Озерный Тверской области».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1 Подпрограммы 1 «Увеличение доли улично-дорожной сети, отвечающей современным эксплуатационным требованиям в общем объеме улично-дорожной сети»;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1 Подпрограммы 1 «Увеличение доли дорог общего пользования местного значения отвечающих современным эксплуатационным требованиям и увеличенной транспортной нагрузке».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2 Подпрограммы 1 «Соответствие улично-дорожной сети ЗАТО Озерный нормативным требованиям содержания»;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2 Подпрограммы 1 «Обеспечение безопасности участников дорожного движения и уменьшение дорожно-транспортного травматизма».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1 Подпрограммы 2 «Увеличение доли благоустроенных дворовых территорий многоквартирных жилых домов»;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1 Подпрограммы 2 «Увеличение доли покрытия дворовых территорий многоквартирных жилых домов современным автодорожным покрытием».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2 Подпрограммы 2 «Увеличение протяженности проездов соответствующих современным дорожным нагрузкам в общей протяженности проездов»;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2 Подпрограммы 2 «Увеличение доли проездов к дворовым территориям отвечающим требованиям организации безопасности дорожного движения».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395E56" w:rsidRDefault="00395E56" w:rsidP="00395E56">
      <w:pPr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Общий объем финансовых ресурсов, предусмотренных на реализацию программы составляет  90 751,9 тыс. руб.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1"/>
        <w:gridCol w:w="2797"/>
        <w:gridCol w:w="1643"/>
        <w:gridCol w:w="1643"/>
        <w:gridCol w:w="1643"/>
        <w:gridCol w:w="1644"/>
      </w:tblGrid>
      <w:tr w:rsidR="00395E56" w:rsidRPr="00475342" w:rsidTr="004B3A4D">
        <w:tc>
          <w:tcPr>
            <w:tcW w:w="534" w:type="dxa"/>
            <w:vMerge w:val="restart"/>
            <w:vAlign w:val="center"/>
          </w:tcPr>
          <w:p w:rsidR="00395E56" w:rsidRDefault="00395E56" w:rsidP="004B3A4D">
            <w:pPr>
              <w:jc w:val="center"/>
            </w:pPr>
            <w:r>
              <w:t>№</w:t>
            </w:r>
          </w:p>
          <w:p w:rsidR="00395E56" w:rsidRPr="00475342" w:rsidRDefault="00395E56" w:rsidP="004B3A4D">
            <w:pPr>
              <w:jc w:val="center"/>
            </w:pPr>
            <w: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395E56" w:rsidRPr="00475342" w:rsidRDefault="00395E56" w:rsidP="004B3A4D">
            <w:pPr>
              <w:jc w:val="center"/>
            </w:pPr>
            <w: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395E56" w:rsidRPr="00475342" w:rsidRDefault="00395E56" w:rsidP="004B3A4D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395E56" w:rsidRPr="00475342" w:rsidRDefault="00395E56" w:rsidP="004B3A4D">
            <w:pPr>
              <w:jc w:val="center"/>
            </w:pPr>
            <w:r>
              <w:t>всего, тыс.руб.</w:t>
            </w:r>
          </w:p>
        </w:tc>
      </w:tr>
      <w:tr w:rsidR="00395E56" w:rsidRPr="00475342" w:rsidTr="004B3A4D">
        <w:tc>
          <w:tcPr>
            <w:tcW w:w="534" w:type="dxa"/>
            <w:vMerge/>
            <w:vAlign w:val="center"/>
          </w:tcPr>
          <w:p w:rsidR="00395E56" w:rsidRPr="00475342" w:rsidRDefault="00395E56" w:rsidP="004B3A4D">
            <w:pPr>
              <w:jc w:val="center"/>
            </w:pPr>
          </w:p>
        </w:tc>
        <w:tc>
          <w:tcPr>
            <w:tcW w:w="2844" w:type="dxa"/>
            <w:vMerge/>
            <w:vAlign w:val="center"/>
          </w:tcPr>
          <w:p w:rsidR="00395E56" w:rsidRPr="00475342" w:rsidRDefault="00395E56" w:rsidP="004B3A4D">
            <w:pPr>
              <w:jc w:val="center"/>
            </w:pPr>
          </w:p>
        </w:tc>
        <w:tc>
          <w:tcPr>
            <w:tcW w:w="1690" w:type="dxa"/>
            <w:vAlign w:val="center"/>
          </w:tcPr>
          <w:p w:rsidR="00395E56" w:rsidRPr="00475342" w:rsidRDefault="00395E56" w:rsidP="004B3A4D">
            <w:pPr>
              <w:jc w:val="center"/>
            </w:pPr>
            <w:r>
              <w:t>2024 год</w:t>
            </w:r>
          </w:p>
        </w:tc>
        <w:tc>
          <w:tcPr>
            <w:tcW w:w="1690" w:type="dxa"/>
            <w:vAlign w:val="center"/>
          </w:tcPr>
          <w:p w:rsidR="00395E56" w:rsidRPr="00475342" w:rsidRDefault="00395E56" w:rsidP="004B3A4D">
            <w:pPr>
              <w:jc w:val="center"/>
            </w:pPr>
            <w:r>
              <w:t>2025 год</w:t>
            </w:r>
          </w:p>
        </w:tc>
        <w:tc>
          <w:tcPr>
            <w:tcW w:w="1690" w:type="dxa"/>
            <w:vAlign w:val="center"/>
          </w:tcPr>
          <w:p w:rsidR="00395E56" w:rsidRPr="00475342" w:rsidRDefault="00395E56" w:rsidP="004B3A4D">
            <w:pPr>
              <w:jc w:val="center"/>
            </w:pPr>
            <w:r>
              <w:t>2026 год</w:t>
            </w:r>
          </w:p>
        </w:tc>
        <w:tc>
          <w:tcPr>
            <w:tcW w:w="1690" w:type="dxa"/>
            <w:vMerge/>
            <w:vAlign w:val="center"/>
          </w:tcPr>
          <w:p w:rsidR="00395E56" w:rsidRPr="00475342" w:rsidRDefault="00395E56" w:rsidP="004B3A4D">
            <w:pPr>
              <w:jc w:val="center"/>
            </w:pPr>
          </w:p>
        </w:tc>
      </w:tr>
      <w:tr w:rsidR="00395E56" w:rsidRPr="00475342" w:rsidTr="004B3A4D">
        <w:tc>
          <w:tcPr>
            <w:tcW w:w="534" w:type="dxa"/>
          </w:tcPr>
          <w:p w:rsidR="00395E56" w:rsidRPr="00475342" w:rsidRDefault="00395E56" w:rsidP="004B3A4D">
            <w:pPr>
              <w:jc w:val="center"/>
            </w:pPr>
            <w:r>
              <w:t>1</w:t>
            </w:r>
          </w:p>
        </w:tc>
        <w:tc>
          <w:tcPr>
            <w:tcW w:w="2844" w:type="dxa"/>
          </w:tcPr>
          <w:p w:rsidR="00395E56" w:rsidRDefault="00395E56" w:rsidP="004B3A4D">
            <w:r>
              <w:t xml:space="preserve">Подпрограмма 1 </w:t>
            </w:r>
          </w:p>
          <w:p w:rsidR="00395E56" w:rsidRPr="00475342" w:rsidRDefault="00395E56" w:rsidP="004B3A4D">
            <w:r>
              <w:t>«Ремонт, капитальный ремонт и содержание улично-дорожной сети ЗАТО Озерный Тверской области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27 483,1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22 906,5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22 435,5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72 825,1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1</w:t>
            </w:r>
          </w:p>
          <w:p w:rsidR="00395E56" w:rsidRDefault="00395E56" w:rsidP="004B3A4D">
            <w:r>
              <w:t>«Капитальный, текущий и ямочный ремонт улично-дорожной сети ЗАТО Озерный с целью поддержания технико-эксплуатационного состояния дорожного покрытия»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15 574,9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14 153,6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14 669,7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44 398,2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Pr="00475342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2</w:t>
            </w:r>
          </w:p>
          <w:p w:rsidR="00395E56" w:rsidRPr="00475342" w:rsidRDefault="00395E56" w:rsidP="004B3A4D">
            <w:r>
              <w:t>«Сезонное содержание улично-дорожной сети ЗАТО Озерный»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11 908,2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8 752,9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7 765,8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28 426,9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  <w:r>
              <w:t>2</w:t>
            </w:r>
          </w:p>
        </w:tc>
        <w:tc>
          <w:tcPr>
            <w:tcW w:w="2844" w:type="dxa"/>
          </w:tcPr>
          <w:p w:rsidR="00395E56" w:rsidRDefault="00395E56" w:rsidP="004B3A4D">
            <w:r>
              <w:t>Подпрограмма  2</w:t>
            </w:r>
          </w:p>
          <w:p w:rsidR="00395E56" w:rsidRDefault="00395E56" w:rsidP="004B3A4D">
            <w:r>
              <w:t>«Ремонт и благоустройство дворовых территорий, проездов к дворовым территориям в ЗАТО Озерный Тверской области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6 184,0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5 756,3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5 986,5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17 926,8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1</w:t>
            </w:r>
          </w:p>
          <w:p w:rsidR="00395E56" w:rsidRDefault="00395E56" w:rsidP="004B3A4D">
            <w:r>
              <w:t>«Капитальный ремонт и ремонт дворовых территорий многоквартирных жилых домов на территории ЗАТО Озерный Тверской области»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6 184,0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5 756,3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5 986,5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17 926,8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2</w:t>
            </w:r>
          </w:p>
          <w:p w:rsidR="00395E56" w:rsidRDefault="00395E56" w:rsidP="004B3A4D">
            <w:r>
              <w:t>«Ремонт проездов к дворовым территориям многоквартирных жилых домов на территории ЗАТО Озерный Тверской области»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</w:tr>
      <w:tr w:rsidR="00395E56" w:rsidRPr="00475342" w:rsidTr="004B3A4D">
        <w:tc>
          <w:tcPr>
            <w:tcW w:w="3378" w:type="dxa"/>
            <w:gridSpan w:val="2"/>
          </w:tcPr>
          <w:p w:rsidR="00395E56" w:rsidRPr="00475342" w:rsidRDefault="00395E56" w:rsidP="004B3A4D">
            <w:pPr>
              <w:jc w:val="center"/>
            </w:pPr>
            <w:r>
              <w:t>Итого, тыс.руб.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33 667,1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28 662,8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28 422,0</w:t>
            </w:r>
          </w:p>
        </w:tc>
        <w:tc>
          <w:tcPr>
            <w:tcW w:w="1690" w:type="dxa"/>
          </w:tcPr>
          <w:p w:rsidR="00395E56" w:rsidRPr="001D242E" w:rsidRDefault="00395E56" w:rsidP="004B3A4D">
            <w:pPr>
              <w:jc w:val="center"/>
              <w:rPr>
                <w:lang w:val="en-US"/>
              </w:rPr>
            </w:pPr>
            <w:r>
              <w:t>90 751,9</w:t>
            </w:r>
          </w:p>
        </w:tc>
      </w:tr>
    </w:tbl>
    <w:p w:rsidR="00395E56" w:rsidRPr="00177025" w:rsidRDefault="00395E56" w:rsidP="00395E5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 Управление реализацией программы предусматривает: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администрации ЗАТО Озерный;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определение мероприятий по реализации Муниципальной программы и распределение их между структурными подразделениями администрации ЗАТО Озерный;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Мониторинг реализации Муниципальной программы обеспечивает: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Мониторинг реализации Муниципальной программы осуществляется в течении всего периода ее реализации и предусматривает: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К отчету о реализации Муниципальной программы за отчетный финансовый год прилагается пояснительная записка, которая содержит: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администрации ЗАТО Озерный Тверской области.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«Реконструкция, ремонт, строительство, содержание улично-дорожной сети и объектов благоустройства  в ЗАТО Озерный Тверской области» при решении задачи 2 «Ремонт и содержание улично-дорожной сети ЗАТО Озерный».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В процессе реализации Муниципальной программы могут появиться внешние и внутренние риски.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К внешним рискам относятся: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законодательные риски, которые возникают вследствие несовершенства,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внутренним рискам относятся: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риск не достижения запланированных результатов.</w:t>
      </w:r>
    </w:p>
    <w:p w:rsidR="00395E56" w:rsidRPr="001C3F01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  <w:sectPr w:rsidR="00395E56" w:rsidSect="00395E56">
          <w:footnotePr>
            <w:pos w:val="beneathText"/>
          </w:footnotePr>
          <w:pgSz w:w="11906" w:h="16838"/>
          <w:pgMar w:top="851" w:right="851" w:bottom="851" w:left="1134" w:header="709" w:footer="709" w:gutter="0"/>
          <w:cols w:space="720"/>
          <w:docGrid w:linePitch="326"/>
        </w:sectPr>
      </w:pPr>
    </w:p>
    <w:tbl>
      <w:tblPr>
        <w:tblW w:w="21820" w:type="dxa"/>
        <w:tblInd w:w="-1843" w:type="dxa"/>
        <w:tblLook w:val="04A0" w:firstRow="1" w:lastRow="0" w:firstColumn="1" w:lastColumn="0" w:noHBand="0" w:noVBand="1"/>
      </w:tblPr>
      <w:tblGrid>
        <w:gridCol w:w="448"/>
        <w:gridCol w:w="436"/>
        <w:gridCol w:w="436"/>
        <w:gridCol w:w="395"/>
        <w:gridCol w:w="394"/>
        <w:gridCol w:w="467"/>
        <w:gridCol w:w="443"/>
        <w:gridCol w:w="393"/>
        <w:gridCol w:w="393"/>
        <w:gridCol w:w="380"/>
        <w:gridCol w:w="380"/>
        <w:gridCol w:w="380"/>
        <w:gridCol w:w="380"/>
        <w:gridCol w:w="380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248"/>
        <w:gridCol w:w="1113"/>
        <w:gridCol w:w="1305"/>
        <w:gridCol w:w="1179"/>
        <w:gridCol w:w="1161"/>
        <w:gridCol w:w="1161"/>
        <w:gridCol w:w="1133"/>
      </w:tblGrid>
      <w:tr w:rsidR="00AD455D" w:rsidRPr="00AD455D" w:rsidTr="00AD455D">
        <w:trPr>
          <w:trHeight w:val="879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22"/>
                <w:szCs w:val="22"/>
              </w:rPr>
            </w:pPr>
            <w:r w:rsidRPr="00AD455D">
              <w:rPr>
                <w:color w:val="000000"/>
                <w:sz w:val="22"/>
                <w:szCs w:val="22"/>
              </w:rPr>
              <w:t>Приложение  1                                                                                                                                     к муниципальной программе "Дорожное хозяйство ЗАТО Озерный Тверской области" на 2024-2026 годы</w:t>
            </w:r>
          </w:p>
        </w:tc>
      </w:tr>
      <w:tr w:rsidR="00AD455D" w:rsidRPr="00AD455D" w:rsidTr="00AD455D">
        <w:trPr>
          <w:trHeight w:val="39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</w:tr>
      <w:tr w:rsidR="00AD455D" w:rsidRPr="00AD455D" w:rsidTr="00AD455D">
        <w:trPr>
          <w:trHeight w:val="45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28"/>
                <w:szCs w:val="28"/>
              </w:rPr>
            </w:pPr>
            <w:r w:rsidRPr="00AD455D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AD455D" w:rsidRPr="00AD455D" w:rsidTr="00AD455D">
        <w:trPr>
          <w:trHeight w:val="348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AD455D">
              <w:rPr>
                <w:b/>
                <w:bCs/>
                <w:color w:val="000000"/>
                <w:sz w:val="28"/>
                <w:szCs w:val="28"/>
                <w:u w:val="single"/>
              </w:rPr>
              <w:t>"Дорожное хозяйство ЗАТО Озерный Тверской области" на 2024-2026 годы</w:t>
            </w:r>
          </w:p>
        </w:tc>
      </w:tr>
      <w:tr w:rsidR="00AD455D" w:rsidRPr="00AD455D" w:rsidTr="00AD455D">
        <w:trPr>
          <w:trHeight w:val="312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</w:tr>
      <w:tr w:rsidR="00AD455D" w:rsidRPr="00AD455D" w:rsidTr="00AD455D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AD455D">
              <w:rPr>
                <w:color w:val="000000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AD455D" w:rsidRPr="00AD455D" w:rsidTr="00AD455D">
        <w:trPr>
          <w:trHeight w:val="312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</w:tr>
      <w:tr w:rsidR="00AD455D" w:rsidRPr="00AD455D" w:rsidTr="00AD455D">
        <w:trPr>
          <w:trHeight w:val="312"/>
        </w:trPr>
        <w:tc>
          <w:tcPr>
            <w:tcW w:w="49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</w:tr>
      <w:tr w:rsidR="00AD455D" w:rsidRPr="00AD455D" w:rsidTr="00AD455D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1. Программа - муниципальная программа ЗАТО Озерный Тверской области "Дорожное хозяйство ЗАТО Озерный Тверской области" на 2024-2026 годы.</w:t>
            </w:r>
          </w:p>
        </w:tc>
      </w:tr>
      <w:tr w:rsidR="00AD455D" w:rsidRPr="00AD455D" w:rsidTr="00AD455D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2. Подпрограмма - подпрограмма муниципальной программы ЗАТО Озерный Тверской области "Дорожное хозяйство ЗАТО Озерный Тверской области" на 2024-2026 годы.</w:t>
            </w:r>
          </w:p>
        </w:tc>
      </w:tr>
      <w:tr w:rsidR="00AD455D" w:rsidRPr="00AD455D" w:rsidTr="00AD455D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AD455D" w:rsidRPr="00AD455D" w:rsidTr="00AD455D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AD455D" w:rsidRPr="00AD455D" w:rsidTr="00AD455D">
        <w:trPr>
          <w:trHeight w:val="25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AD455D" w:rsidRPr="00AD455D" w:rsidTr="00AD455D">
        <w:trPr>
          <w:trHeight w:val="276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0"/>
                <w:szCs w:val="20"/>
              </w:rPr>
            </w:pPr>
          </w:p>
        </w:tc>
      </w:tr>
      <w:tr w:rsidR="00AD455D" w:rsidRPr="00AD455D" w:rsidTr="00AD455D">
        <w:trPr>
          <w:trHeight w:val="492"/>
        </w:trPr>
        <w:tc>
          <w:tcPr>
            <w:tcW w:w="68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5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20"/>
                <w:szCs w:val="20"/>
              </w:rPr>
            </w:pPr>
            <w:r w:rsidRPr="00AD455D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AD455D" w:rsidRPr="00AD455D" w:rsidTr="00AD455D">
        <w:trPr>
          <w:trHeight w:val="612"/>
        </w:trPr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D" w:rsidRPr="00AD455D" w:rsidRDefault="00AD455D" w:rsidP="00AD45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8"/>
                <w:szCs w:val="18"/>
              </w:rPr>
            </w:pPr>
            <w:r w:rsidRPr="00AD455D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AD455D" w:rsidRPr="00AD455D" w:rsidTr="00AD455D">
        <w:trPr>
          <w:trHeight w:val="27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  <w:sz w:val="16"/>
                <w:szCs w:val="16"/>
              </w:rPr>
            </w:pPr>
            <w:r w:rsidRPr="00AD455D">
              <w:rPr>
                <w:color w:val="000000"/>
                <w:sz w:val="16"/>
                <w:szCs w:val="16"/>
              </w:rPr>
              <w:t>31</w:t>
            </w:r>
          </w:p>
        </w:tc>
      </w:tr>
      <w:tr w:rsidR="00AD455D" w:rsidRPr="00AD455D" w:rsidTr="00AD455D">
        <w:trPr>
          <w:trHeight w:val="9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Программа "Дорожное хозяйство ЗАТО Озерный Тверской области" на 2024-2026 годы, всего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33667,1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28662,8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28422,0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90751,9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235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r w:rsidRPr="00AD455D">
              <w:rPr>
                <w:b/>
                <w:bCs/>
              </w:rPr>
              <w:t>Цель программы</w:t>
            </w:r>
            <w:r w:rsidRPr="00AD455D">
              <w:t xml:space="preserve">  "Улучшение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уровня дорожно-транспортного травматизма"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х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х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х</w:t>
            </w:r>
          </w:p>
        </w:tc>
      </w:tr>
      <w:tr w:rsidR="00AD455D" w:rsidRPr="00AD455D" w:rsidTr="00AD455D">
        <w:trPr>
          <w:trHeight w:val="123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 xml:space="preserve">Показатель 1 "Увеличение доли отремонтированных автомобильных дорог  в общей протяженности автомобильных дорог ЗАТО Озерный"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70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80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6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"Увеличение доли благоустройнных дворовых территорий многоквартирных жилых домов в общем количестве дворовых территорий" (Д=Nотр/Nобщ.*100%)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00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Подпрограмма 1 "Ремонт, капитальный ремонт и содержание улично-дорожной сети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27483,1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22906,5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22435,5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72825,1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13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r w:rsidRPr="00AD455D">
              <w:rPr>
                <w:b/>
                <w:bCs/>
              </w:rPr>
              <w:t>Задача 1</w:t>
            </w:r>
            <w:r w:rsidRPr="00AD455D">
              <w:t xml:space="preserve"> "Капитальный, текущий и ямочный ремонт улично-дорожной сети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15574,9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14153,6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14669,7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44398,2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2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65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70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"Снижение аварийности на участках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95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Мероприятие 1.001 "Ямочный и текущий ремонт улично-дорожной сети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2650,0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1000,0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1000,0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4650,0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"Текущий и ямочный ремонт улично-дорожной сети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2650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1650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1650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5950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75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"Площадь отремонтированного дорожного покрытия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кв.м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1900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800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800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93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Мероприятия 1.002 "Изготовление рабочей документации на капитальный ремонт и ремонт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250,0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250,0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700,0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93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"Корректировка проектной документации на капитальный ремонт ул. Строителей в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972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"Актуализация имеющийся проектной документации на капитальный ремонт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шт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155"/>
        </w:trPr>
        <w:tc>
          <w:tcPr>
            <w:tcW w:w="448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S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Мероприятие 1.003 "Капитальный ремонт и ремонт улично-дорожной сети в ЗАТО Озерный"</w:t>
            </w:r>
          </w:p>
        </w:tc>
        <w:tc>
          <w:tcPr>
            <w:tcW w:w="111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1512,4</w:t>
            </w:r>
          </w:p>
        </w:tc>
        <w:tc>
          <w:tcPr>
            <w:tcW w:w="117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1533,7</w:t>
            </w:r>
          </w:p>
        </w:tc>
        <w:tc>
          <w:tcPr>
            <w:tcW w:w="11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1595,0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4641,1</w:t>
            </w:r>
          </w:p>
        </w:tc>
        <w:tc>
          <w:tcPr>
            <w:tcW w:w="113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13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"Капитальный ремонт тротуаров на участке от ул. Советская, д. 1 до пер. Тверской, д. 3 в ЗАТО Озерный Тверской области"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80,20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80,20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6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"Оказание услуг строительного контроля на объекте: Капитальный ремонт тротуаров на участке от ул. Советская, д. 1 до пер. Тверской, д. 3 в ЗАТО Озерный Тверской области"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17,10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17,10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5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3 "Капитальный ремонт асфальтовой площадки по адресу: Тверская область, ЗАТО Озерный, ул. Победы"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1165,60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1165,60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7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4 "Оказание услуг строительного контроля на объекте: "Капитальный ремонт асфальтовой площадки по адресу: Тверская область, ЗАТО Озерный, ул. Победы"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249,50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249,50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00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Мероприятия 1.004 "Субсидия на капитальный ремонт и ремонт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11212,5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11369,9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11824,7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34407,1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94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"Капитальный ремонт тротуаров на участке от ул. Советская, д. 1 до пер. Тверской, д. 3 в ЗАТО Озерный Тверской области" (бюджет Тверской области)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721,50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721,50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"Капитальный ремонт асфальтовой площадки по адресу: Тверская область, ЗАТО Озерный, ул. Победы"(бюджет Тверской области)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10 494,00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0,108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600"/>
        </w:trPr>
        <w:tc>
          <w:tcPr>
            <w:tcW w:w="448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r w:rsidRPr="00AD455D">
              <w:rPr>
                <w:b/>
                <w:bCs/>
              </w:rPr>
              <w:t xml:space="preserve">Задача 2 </w:t>
            </w:r>
            <w:r w:rsidRPr="00AD455D">
              <w:t>"Сезонное содержание улично-дорожной сети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11908,2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8752,9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7765,8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28426,9</w:t>
            </w:r>
          </w:p>
        </w:tc>
        <w:tc>
          <w:tcPr>
            <w:tcW w:w="113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"Соответствие улично-дорожной сети ЗАТО Озерный нормативным требованиям содержания"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972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68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Г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Мероприятие 2.001 "Предоставление субсидий МБУ "Дорсервис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11908,2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8752,9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7765,8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28426,9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14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"Протяженность улично-дорожной сети соответствующей нормативным требованиям при сезонном содержании дорог"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км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"Снижение дорожно-транспортного травматизма"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0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Административное мероприятие 2.002 "Осуществление контроля за содержанием дорог на территории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да/нет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1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"Количество проверок улично-дорожной сети ЗАТО Озерный на предмет сезонного содержани"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шт.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35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шт.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2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Подпрограмма 2 "Ремонт и благоустройство дворовых территорий, проездов к дворовым территориям в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6184,0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5756,3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5986,5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17926,8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148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r w:rsidRPr="00AD455D">
              <w:rPr>
                <w:b/>
                <w:bCs/>
              </w:rPr>
              <w:t>Задача 1</w:t>
            </w:r>
            <w:r w:rsidRPr="00AD455D">
              <w:t xml:space="preserve"> "Капитальный ремонт и ремонт дворовых территорий многоквартирных жилых домов на территории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6184,0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5756,3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5986,5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17926,8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35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"Увеличение доли благоустройнных дворовых территорий многоквартирных жилых домов" (Д=Nотр/Nобщ.*100%) 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29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"Увеличение доли покрытия дворовыхх территорий многоквартирных жилых домов современным автодорожным покрытием"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47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Мероприятие 1.001 "Благоустройство, капитальный ремонт и ремонт дворовых территорий с учетом современных технических требований"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1307,0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684,2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711,5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2702,7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12"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605,4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605,4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6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"Оказание услуг строительного контроля на объекте: "Капитальный ремонт дворовой территории многоквартирного дома по адресу: Тверская область, ЗАТО Озерный, ул. Киевская, д. 12"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129,56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129,56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47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color w:val="000000"/>
              </w:rPr>
            </w:pPr>
            <w:r w:rsidRPr="00AD455D">
              <w:rPr>
                <w:b/>
                <w:bCs/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Мероприятие 1.002 "Субсидия на капитальный ремонт и ремонт дворовых территорий многоквартирных домов, проездов к дворовым территориям многоквартирных домов"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4877,0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5072,1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5275,0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15224,1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142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12" (Бюджет Тверской области)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4303,3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4303,3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"Капитальный ремонт дворовых территорий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тыс.руб.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573,7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573,7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2024</w:t>
            </w:r>
          </w:p>
        </w:tc>
      </w:tr>
      <w:tr w:rsidR="00AD455D" w:rsidRPr="00AD455D" w:rsidTr="00AD455D">
        <w:trPr>
          <w:trHeight w:val="10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r w:rsidRPr="00AD455D">
              <w:rPr>
                <w:b/>
                <w:bCs/>
              </w:rPr>
              <w:t>Задача 2</w:t>
            </w:r>
            <w:r w:rsidRPr="00AD455D">
              <w:t xml:space="preserve"> "Ремонт проездов к дворовым территориям многоквартирных жилых домов на территории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да/нет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23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"Увеличение протяженности проездов соответствующих современным дорожным нагрузкам в общей протяженности проездов"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948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"Увеличение доли проездов к дворовым территориям отвечающим организации безопасности дорожного движения"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020"/>
        </w:trPr>
        <w:tc>
          <w:tcPr>
            <w:tcW w:w="448" w:type="dxa"/>
            <w:tcBorders>
              <w:top w:val="single" w:sz="4" w:space="0" w:color="BFBFBF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Административное мероприятие 2.001 "Проведение мониторинга состояния проездов"</w:t>
            </w:r>
          </w:p>
        </w:tc>
        <w:tc>
          <w:tcPr>
            <w:tcW w:w="111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55D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305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да</w:t>
            </w:r>
          </w:p>
        </w:tc>
        <w:tc>
          <w:tcPr>
            <w:tcW w:w="1179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да</w:t>
            </w:r>
          </w:p>
        </w:tc>
        <w:tc>
          <w:tcPr>
            <w:tcW w:w="1161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да</w:t>
            </w:r>
          </w:p>
        </w:tc>
        <w:tc>
          <w:tcPr>
            <w:tcW w:w="1161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да</w:t>
            </w:r>
          </w:p>
        </w:tc>
        <w:tc>
          <w:tcPr>
            <w:tcW w:w="113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b/>
                <w:bCs/>
              </w:rPr>
            </w:pPr>
            <w:r w:rsidRPr="00AD455D">
              <w:rPr>
                <w:b/>
                <w:bCs/>
              </w:rPr>
              <w:t>2026</w:t>
            </w:r>
          </w:p>
        </w:tc>
      </w:tr>
      <w:tr w:rsidR="00AD455D" w:rsidRPr="00AD455D" w:rsidTr="00AD455D">
        <w:trPr>
          <w:trHeight w:val="6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"Количество обследованных проездов"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шт.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"Количество проездов, включенных в муниципальную программу с целью проведения их ремонта"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шт.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1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rPr>
                <w:b/>
                <w:bCs/>
              </w:rPr>
            </w:pPr>
            <w:r w:rsidRPr="00AD455D">
              <w:rPr>
                <w:b/>
                <w:bCs/>
              </w:rPr>
              <w:t>Административное мероприятие 2.002 "Осуществление дорожного контроля в отношении проездов к дворовым территориям"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да/нет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70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1 "Количество проведенных проверок"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шт.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  <w:tr w:rsidR="00AD455D" w:rsidRPr="00AD455D" w:rsidTr="00AD455D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color w:val="000000"/>
              </w:rPr>
            </w:pPr>
            <w:r w:rsidRPr="00AD455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rPr>
                <w:i/>
                <w:iCs/>
              </w:rPr>
            </w:pPr>
            <w:r w:rsidRPr="00AD455D">
              <w:rPr>
                <w:i/>
                <w:iCs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  <w:rPr>
                <w:sz w:val="22"/>
                <w:szCs w:val="22"/>
              </w:rPr>
            </w:pPr>
            <w:r w:rsidRPr="00AD455D">
              <w:rPr>
                <w:sz w:val="22"/>
                <w:szCs w:val="22"/>
              </w:rPr>
              <w:t>шт.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55D" w:rsidRPr="00AD455D" w:rsidRDefault="00AD455D" w:rsidP="00AD455D">
            <w:pPr>
              <w:jc w:val="center"/>
            </w:pPr>
            <w:r w:rsidRPr="00AD455D">
              <w:t>2026</w:t>
            </w:r>
          </w:p>
        </w:tc>
      </w:tr>
    </w:tbl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sectPr w:rsidR="00395E56" w:rsidSect="00395E56">
      <w:footnotePr>
        <w:pos w:val="beneathText"/>
      </w:footnotePr>
      <w:pgSz w:w="23814" w:h="16443" w:orient="landscape" w:code="9"/>
      <w:pgMar w:top="2381" w:right="851" w:bottom="2381" w:left="39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BDC" w:rsidRDefault="003F7BDC" w:rsidP="00077450">
      <w:r>
        <w:separator/>
      </w:r>
    </w:p>
  </w:endnote>
  <w:endnote w:type="continuationSeparator" w:id="0">
    <w:p w:rsidR="003F7BDC" w:rsidRDefault="003F7BDC" w:rsidP="0007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BDC" w:rsidRDefault="003F7BDC" w:rsidP="00077450">
      <w:r>
        <w:separator/>
      </w:r>
    </w:p>
  </w:footnote>
  <w:footnote w:type="continuationSeparator" w:id="0">
    <w:p w:rsidR="003F7BDC" w:rsidRDefault="003F7BDC" w:rsidP="00077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BA"/>
    <w:rsid w:val="00073A04"/>
    <w:rsid w:val="00077450"/>
    <w:rsid w:val="000E7E45"/>
    <w:rsid w:val="0020138F"/>
    <w:rsid w:val="00395E56"/>
    <w:rsid w:val="003F7BDC"/>
    <w:rsid w:val="0041558F"/>
    <w:rsid w:val="00421197"/>
    <w:rsid w:val="00447259"/>
    <w:rsid w:val="00465E55"/>
    <w:rsid w:val="00496FBA"/>
    <w:rsid w:val="004C721B"/>
    <w:rsid w:val="005B3B81"/>
    <w:rsid w:val="006E300F"/>
    <w:rsid w:val="00833857"/>
    <w:rsid w:val="008D4330"/>
    <w:rsid w:val="009428B3"/>
    <w:rsid w:val="009C414C"/>
    <w:rsid w:val="00A2660C"/>
    <w:rsid w:val="00AB7079"/>
    <w:rsid w:val="00AD455D"/>
    <w:rsid w:val="00AF7EBB"/>
    <w:rsid w:val="00B80201"/>
    <w:rsid w:val="00C563B4"/>
    <w:rsid w:val="00D00A7C"/>
    <w:rsid w:val="00D03D20"/>
    <w:rsid w:val="00DF2B34"/>
    <w:rsid w:val="00F67671"/>
    <w:rsid w:val="00FD73E2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AEBED-6943-4CF7-8B6B-BED524CB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table" w:styleId="a7">
    <w:name w:val="Table Grid"/>
    <w:basedOn w:val="a1"/>
    <w:uiPriority w:val="59"/>
    <w:rsid w:val="0041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0774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7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774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77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2">
    <w:name w:val="xl112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395E56"/>
    <w:pP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395E5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95E56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18">
    <w:name w:val="xl118"/>
    <w:basedOn w:val="a"/>
    <w:rsid w:val="00395E56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395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4982</Words>
  <Characters>28402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6</cp:revision>
  <cp:lastPrinted>2022-11-10T07:23:00Z</cp:lastPrinted>
  <dcterms:created xsi:type="dcterms:W3CDTF">2023-11-17T12:34:00Z</dcterms:created>
  <dcterms:modified xsi:type="dcterms:W3CDTF">2023-11-17T14:30:00Z</dcterms:modified>
</cp:coreProperties>
</file>